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7C2F0D6E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CA70F7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0D276C" w:rsidRPr="000D276C">
        <w:rPr>
          <w:b/>
          <w:i/>
          <w:noProof/>
          <w:sz w:val="28"/>
        </w:rPr>
        <w:t>250202</w:t>
      </w:r>
    </w:p>
    <w:p w14:paraId="7885B623" w14:textId="6A137E9E" w:rsidR="007748ED" w:rsidRDefault="003C2AAF" w:rsidP="00C00F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613B05" w:rsidRPr="000D55E7">
        <w:rPr>
          <w:b/>
          <w:noProof/>
          <w:sz w:val="24"/>
        </w:rPr>
        <w:t xml:space="preserve">, </w:t>
      </w:r>
      <w:fldSimple w:instr=" DOCPROPERTY  StartDate  \* MERGEFORMAT ">
        <w:r w:rsidR="00613B05" w:rsidRPr="000D55E7">
          <w:rPr>
            <w:b/>
            <w:noProof/>
            <w:sz w:val="24"/>
          </w:rPr>
          <w:t>1</w:t>
        </w:r>
        <w:r w:rsidR="00437835">
          <w:rPr>
            <w:b/>
            <w:noProof/>
            <w:sz w:val="24"/>
          </w:rPr>
          <w:t>7</w:t>
        </w:r>
        <w:r w:rsidR="00613B05" w:rsidRPr="007E558A">
          <w:rPr>
            <w:b/>
            <w:noProof/>
            <w:sz w:val="24"/>
            <w:vertAlign w:val="superscript"/>
          </w:rPr>
          <w:t>th</w:t>
        </w:r>
        <w:r w:rsidR="00613B05" w:rsidRPr="000D55E7">
          <w:rPr>
            <w:b/>
            <w:noProof/>
            <w:sz w:val="24"/>
          </w:rPr>
          <w:t xml:space="preserve"> </w:t>
        </w:r>
        <w:r w:rsidR="00D946C8">
          <w:rPr>
            <w:b/>
            <w:noProof/>
            <w:sz w:val="24"/>
          </w:rPr>
          <w:t>Feb</w:t>
        </w:r>
        <w:r w:rsidR="00613B05" w:rsidRPr="000D55E7">
          <w:rPr>
            <w:b/>
            <w:noProof/>
            <w:sz w:val="24"/>
          </w:rPr>
          <w:t xml:space="preserve"> 202</w:t>
        </w:r>
        <w:r w:rsidR="00D946C8">
          <w:rPr>
            <w:b/>
            <w:noProof/>
            <w:sz w:val="24"/>
          </w:rPr>
          <w:t>5</w:t>
        </w:r>
      </w:fldSimple>
      <w:r w:rsidR="00613B05" w:rsidRPr="000D55E7">
        <w:rPr>
          <w:b/>
          <w:noProof/>
          <w:sz w:val="24"/>
        </w:rPr>
        <w:t xml:space="preserve"> – </w:t>
      </w:r>
      <w:fldSimple w:instr=" DOCPROPERTY  EndDate  \* MERGEFORMAT ">
        <w:r w:rsidR="00F0062C">
          <w:rPr>
            <w:b/>
            <w:noProof/>
            <w:sz w:val="24"/>
          </w:rPr>
          <w:t>2</w:t>
        </w:r>
        <w:r w:rsidR="00437835">
          <w:rPr>
            <w:b/>
            <w:noProof/>
            <w:sz w:val="24"/>
          </w:rPr>
          <w:t>1</w:t>
        </w:r>
        <w:r w:rsidR="00A223F2">
          <w:rPr>
            <w:b/>
            <w:noProof/>
            <w:sz w:val="24"/>
            <w:vertAlign w:val="superscript"/>
          </w:rPr>
          <w:t>st</w:t>
        </w:r>
        <w:r w:rsidR="00613B05" w:rsidRPr="000D55E7">
          <w:rPr>
            <w:b/>
            <w:noProof/>
            <w:sz w:val="24"/>
          </w:rPr>
          <w:t xml:space="preserve"> </w:t>
        </w:r>
        <w:r w:rsidR="00D946C8">
          <w:rPr>
            <w:b/>
            <w:noProof/>
            <w:sz w:val="24"/>
          </w:rPr>
          <w:t>Feb</w:t>
        </w:r>
        <w:r w:rsidR="00613B05" w:rsidRPr="000D55E7">
          <w:rPr>
            <w:b/>
            <w:noProof/>
            <w:sz w:val="24"/>
          </w:rPr>
          <w:t xml:space="preserve"> 202</w:t>
        </w:r>
        <w:r w:rsidR="00D946C8">
          <w:rPr>
            <w:b/>
            <w:noProof/>
            <w:sz w:val="24"/>
          </w:rPr>
          <w:t>5</w:t>
        </w:r>
      </w:fldSimple>
    </w:p>
    <w:p w14:paraId="35952388" w14:textId="3ACC13FE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54B06" w:rsidRPr="00754B06">
        <w:rPr>
          <w:rFonts w:ascii="Arial" w:hAnsi="Arial" w:cs="Arial"/>
          <w:sz w:val="24"/>
          <w:szCs w:val="24"/>
        </w:rPr>
        <w:t>5.3.7.9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C88EE48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91F7D" w:rsidRPr="00F91F7D">
        <w:rPr>
          <w:rFonts w:ascii="Arial" w:hAnsi="Arial" w:cs="Arial"/>
          <w:sz w:val="24"/>
          <w:szCs w:val="24"/>
        </w:rPr>
        <w:t>FR2 MU - Discussion on pending MU and TT definition for PC6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1111DD06" w14:textId="445A88D8" w:rsidR="00A0432E" w:rsidRDefault="00DE2DC6" w:rsidP="005E2166">
      <w:pPr>
        <w:rPr>
          <w:rFonts w:eastAsia="Batang"/>
        </w:rPr>
      </w:pPr>
      <w:r>
        <w:rPr>
          <w:rFonts w:eastAsia="Batang"/>
        </w:rPr>
        <w:t>The aim of t</w:t>
      </w:r>
      <w:r w:rsidR="000833ED" w:rsidRPr="00354167">
        <w:rPr>
          <w:rFonts w:eastAsia="Batang"/>
        </w:rPr>
        <w:t>his</w:t>
      </w:r>
      <w:r>
        <w:rPr>
          <w:rFonts w:eastAsia="Batang"/>
        </w:rPr>
        <w:t xml:space="preserve"> </w:t>
      </w:r>
      <w:r w:rsidR="000833ED" w:rsidRPr="00354167">
        <w:rPr>
          <w:rFonts w:eastAsia="Batang"/>
        </w:rPr>
        <w:t>contribution</w:t>
      </w:r>
      <w:r w:rsidR="000A10DB">
        <w:rPr>
          <w:rFonts w:eastAsia="Batang"/>
        </w:rPr>
        <w:t xml:space="preserve"> is to continue the analysis started in</w:t>
      </w:r>
      <w:r w:rsidR="00C27377">
        <w:rPr>
          <w:rFonts w:eastAsia="Batang"/>
        </w:rPr>
        <w:t xml:space="preserve"> </w:t>
      </w:r>
      <w:r w:rsidR="00C27377">
        <w:rPr>
          <w:rFonts w:eastAsia="Batang"/>
        </w:rPr>
        <w:fldChar w:fldCharType="begin"/>
      </w:r>
      <w:r w:rsidR="00C27377">
        <w:rPr>
          <w:rFonts w:eastAsia="Batang"/>
        </w:rPr>
        <w:instrText xml:space="preserve"> REF _Ref187853909 \r \h </w:instrText>
      </w:r>
      <w:r w:rsidR="00C27377">
        <w:rPr>
          <w:rFonts w:eastAsia="Batang"/>
        </w:rPr>
      </w:r>
      <w:r w:rsidR="00C27377">
        <w:rPr>
          <w:rFonts w:eastAsia="Batang"/>
        </w:rPr>
        <w:fldChar w:fldCharType="separate"/>
      </w:r>
      <w:r w:rsidR="000E1D04">
        <w:rPr>
          <w:rFonts w:eastAsia="Batang"/>
        </w:rPr>
        <w:t>[1]</w:t>
      </w:r>
      <w:r w:rsidR="00C27377">
        <w:rPr>
          <w:rFonts w:eastAsia="Batang"/>
        </w:rPr>
        <w:fldChar w:fldCharType="end"/>
      </w:r>
      <w:r w:rsidR="000A10DB">
        <w:rPr>
          <w:rFonts w:eastAsia="Batang"/>
        </w:rPr>
        <w:t xml:space="preserve"> </w:t>
      </w:r>
      <w:r w:rsidR="00A0432E">
        <w:rPr>
          <w:rFonts w:eastAsia="Batang"/>
        </w:rPr>
        <w:t>and progress in the MU and TT definition for PC6 in the following test cases:</w:t>
      </w:r>
    </w:p>
    <w:p w14:paraId="79E1C791" w14:textId="77777777" w:rsidR="00A0432E" w:rsidRDefault="00A0432E" w:rsidP="00A0432E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OBW</w:t>
      </w:r>
    </w:p>
    <w:p w14:paraId="67A67185" w14:textId="77777777" w:rsidR="00A0432E" w:rsidRDefault="00A0432E" w:rsidP="00A0432E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EVM</w:t>
      </w:r>
    </w:p>
    <w:p w14:paraId="3595238D" w14:textId="285A7D8A" w:rsidR="000606FD" w:rsidRPr="00A0432E" w:rsidRDefault="00A0432E" w:rsidP="00A0432E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Spurious</w:t>
      </w:r>
      <w:r w:rsidR="00D12F3D">
        <w:rPr>
          <w:rFonts w:eastAsia="Batang"/>
        </w:rPr>
        <w:t xml:space="preserve"> tests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72C045CB" w:rsidR="00DB6CE7" w:rsidRPr="00423F6F" w:rsidRDefault="00345172" w:rsidP="00DB6CE7">
      <w:pPr>
        <w:pStyle w:val="Heading2"/>
        <w:numPr>
          <w:ilvl w:val="1"/>
          <w:numId w:val="42"/>
        </w:numPr>
        <w:ind w:left="709" w:hanging="709"/>
        <w:rPr>
          <w:lang w:eastAsia="en-GB"/>
        </w:rPr>
      </w:pPr>
      <w:r>
        <w:rPr>
          <w:lang w:eastAsia="en-GB"/>
        </w:rPr>
        <w:t>OBW</w:t>
      </w:r>
    </w:p>
    <w:p w14:paraId="0F5EEC45" w14:textId="00AFC16A" w:rsidR="00537FE6" w:rsidRDefault="00DB6CE7" w:rsidP="00DB6CE7">
      <w:r>
        <w:t>In</w:t>
      </w:r>
      <w:r w:rsidR="00C80045">
        <w:t xml:space="preserve"> OBW test case </w:t>
      </w:r>
      <w:r w:rsidR="00F95FFE">
        <w:t xml:space="preserve">6.5.1 </w:t>
      </w:r>
      <w:r w:rsidR="00C80045">
        <w:t>in TS 38.521-</w:t>
      </w:r>
      <w:r w:rsidR="00F95FFE">
        <w:t xml:space="preserve">2 </w:t>
      </w:r>
      <w:r w:rsidR="00C27377">
        <w:fldChar w:fldCharType="begin"/>
      </w:r>
      <w:r w:rsidR="00C27377">
        <w:instrText xml:space="preserve"> REF _Ref187757236 \r \h </w:instrText>
      </w:r>
      <w:r w:rsidR="00C27377">
        <w:fldChar w:fldCharType="separate"/>
      </w:r>
      <w:r w:rsidR="000E1D04">
        <w:t>[3]</w:t>
      </w:r>
      <w:r w:rsidR="00C27377">
        <w:fldChar w:fldCharType="end"/>
      </w:r>
      <w:r w:rsidR="00F95FFE">
        <w:t>, only QPSK is tested</w:t>
      </w:r>
      <w:r w:rsidR="00606366">
        <w:t xml:space="preserve"> </w:t>
      </w:r>
      <w:r w:rsidR="006629B1">
        <w:t>doing an EIRP type measurement</w:t>
      </w:r>
      <w:r w:rsidR="003160B6">
        <w:t xml:space="preserve"> while UE power is push</w:t>
      </w:r>
      <w:r w:rsidR="00F70415">
        <w:t>ed to its maximum</w:t>
      </w:r>
      <w:r w:rsidR="00F95FFE">
        <w:t xml:space="preserve">. </w:t>
      </w:r>
      <w:r w:rsidR="00537FE6">
        <w:t>The test requirements are independent of the power class.</w:t>
      </w:r>
    </w:p>
    <w:p w14:paraId="32DCA537" w14:textId="2DB0AB80" w:rsidR="00DB6CE7" w:rsidRDefault="00F95FFE" w:rsidP="00DB6CE7">
      <w:r>
        <w:t>For modulations other than 256QAM, the MPR that applies to PC6 is the same as for PC5 as defined in section 6.2.2 in TS 38.521-2</w:t>
      </w:r>
      <w:r w:rsidR="00584D2D">
        <w:fldChar w:fldCharType="begin"/>
      </w:r>
      <w:r w:rsidR="00584D2D">
        <w:instrText xml:space="preserve"> REF _Ref187757236 \r \h </w:instrText>
      </w:r>
      <w:r w:rsidR="00584D2D">
        <w:fldChar w:fldCharType="separate"/>
      </w:r>
      <w:r w:rsidR="000E1D04">
        <w:t>[3]</w:t>
      </w:r>
      <w:r w:rsidR="00584D2D">
        <w:fldChar w:fldCharType="end"/>
      </w:r>
      <w:r>
        <w:t xml:space="preserve">. </w:t>
      </w:r>
      <w:r w:rsidR="006629B1">
        <w:t xml:space="preserve">Regarding the </w:t>
      </w:r>
      <w:r w:rsidR="00564ED5">
        <w:t>maximum output power, in case of EIRP, PC6 and PC5 have the same requirements</w:t>
      </w:r>
      <w:r w:rsidR="00584D2D" w:rsidRPr="00584D2D">
        <w:t xml:space="preserve"> </w:t>
      </w:r>
      <w:r w:rsidR="00584D2D">
        <w:t>as defined in section 6.2.1 in TS 38.521-2</w:t>
      </w:r>
      <w:r w:rsidR="00584D2D">
        <w:fldChar w:fldCharType="begin"/>
      </w:r>
      <w:r w:rsidR="00584D2D">
        <w:instrText xml:space="preserve"> REF _Ref187757236 \r \h </w:instrText>
      </w:r>
      <w:r w:rsidR="00584D2D">
        <w:fldChar w:fldCharType="separate"/>
      </w:r>
      <w:r w:rsidR="000E1D04">
        <w:t>[3]</w:t>
      </w:r>
      <w:r w:rsidR="00584D2D">
        <w:fldChar w:fldCharType="end"/>
      </w:r>
      <w:r w:rsidR="00564ED5">
        <w:t>. Therefore, in OBW test case</w:t>
      </w:r>
      <w:r w:rsidR="003D501F">
        <w:t>, the UE expected power in worst case</w:t>
      </w:r>
      <w:r w:rsidR="00150086">
        <w:t xml:space="preserve"> and therefore the minimum SNR will be the same for PC6 as for PC5. </w:t>
      </w:r>
    </w:p>
    <w:p w14:paraId="7934C7DF" w14:textId="7D4DEA81" w:rsidR="00150086" w:rsidRDefault="00150086" w:rsidP="00DB6CE7">
      <w:r>
        <w:t xml:space="preserve">In OBW test case, the </w:t>
      </w:r>
      <w:r w:rsidR="001F1F27">
        <w:t xml:space="preserve">measurement uncertainty depends mainly on the available SNR and the measurement </w:t>
      </w:r>
      <w:r w:rsidR="006E0429">
        <w:t xml:space="preserve">BW vs the channel BW. </w:t>
      </w:r>
      <w:r w:rsidR="00A0276B">
        <w:t xml:space="preserve">If the measurement BW is defined </w:t>
      </w:r>
      <w:r w:rsidR="00584D2D">
        <w:t>independently</w:t>
      </w:r>
      <w:r w:rsidR="00A0276B">
        <w:t xml:space="preserve"> of the power </w:t>
      </w:r>
      <w:proofErr w:type="gramStart"/>
      <w:r w:rsidR="00A0276B">
        <w:t>class</w:t>
      </w:r>
      <w:proofErr w:type="gramEnd"/>
      <w:r w:rsidR="00A0276B">
        <w:t xml:space="preserve"> </w:t>
      </w:r>
      <w:r w:rsidR="00FC27D0">
        <w:t>then it can be concluded and proposed to define OBW MU and TT for PC6 same as already defined for PC5.</w:t>
      </w:r>
    </w:p>
    <w:p w14:paraId="013F149C" w14:textId="7D06F0E1" w:rsidR="008A43CC" w:rsidRDefault="008A43CC" w:rsidP="008A43CC">
      <w:pPr>
        <w:pStyle w:val="Caption"/>
        <w:rPr>
          <w:b w:val="0"/>
          <w:bCs/>
        </w:rPr>
      </w:pPr>
      <w:bookmarkStart w:id="3" w:name="_Ref18800336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E1D04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>In OBW test case, requirements are independent of the power class</w:t>
      </w:r>
      <w:r w:rsidR="00CC27CD">
        <w:rPr>
          <w:b w:val="0"/>
          <w:bCs/>
        </w:rPr>
        <w:t xml:space="preserve"> and are only verified using QPSK</w:t>
      </w:r>
      <w:r w:rsidR="00C946C3">
        <w:rPr>
          <w:b w:val="0"/>
          <w:bCs/>
        </w:rPr>
        <w:t xml:space="preserve"> via EIRP </w:t>
      </w:r>
      <w:r w:rsidR="00C946C3" w:rsidRPr="00F70415">
        <w:rPr>
          <w:b w:val="0"/>
          <w:bCs/>
        </w:rPr>
        <w:t>me</w:t>
      </w:r>
      <w:r w:rsidR="00C918DA" w:rsidRPr="00F70415">
        <w:rPr>
          <w:b w:val="0"/>
          <w:bCs/>
        </w:rPr>
        <w:t>asurements</w:t>
      </w:r>
      <w:r w:rsidR="00F70415" w:rsidRPr="00F70415">
        <w:rPr>
          <w:b w:val="0"/>
          <w:bCs/>
        </w:rPr>
        <w:t xml:space="preserve"> while UE power is pushed to its maximum</w:t>
      </w:r>
      <w:r w:rsidRPr="00F70415">
        <w:rPr>
          <w:b w:val="0"/>
          <w:bCs/>
        </w:rPr>
        <w:t>.</w:t>
      </w:r>
      <w:bookmarkEnd w:id="3"/>
    </w:p>
    <w:p w14:paraId="7E9EAD7C" w14:textId="209C2AEC" w:rsidR="00CC27CD" w:rsidRDefault="00CC27CD" w:rsidP="00CC27CD">
      <w:pPr>
        <w:pStyle w:val="Caption"/>
        <w:rPr>
          <w:b w:val="0"/>
          <w:bCs/>
        </w:rPr>
      </w:pPr>
      <w:bookmarkStart w:id="4" w:name="_Ref18800337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E1D04">
        <w:rPr>
          <w:noProof/>
        </w:rPr>
        <w:t>2</w:t>
      </w:r>
      <w:r>
        <w:fldChar w:fldCharType="end"/>
      </w:r>
      <w:r>
        <w:t xml:space="preserve">. </w:t>
      </w:r>
      <w:r>
        <w:rPr>
          <w:b w:val="0"/>
          <w:bCs/>
        </w:rPr>
        <w:t xml:space="preserve">In OBW test case, in worst case analysis, </w:t>
      </w:r>
      <w:r w:rsidR="006A2060">
        <w:rPr>
          <w:b w:val="0"/>
          <w:bCs/>
        </w:rPr>
        <w:t xml:space="preserve">expected minimum UE power </w:t>
      </w:r>
      <w:r w:rsidR="006B6DC8">
        <w:rPr>
          <w:b w:val="0"/>
          <w:bCs/>
        </w:rPr>
        <w:t xml:space="preserve">for PC6 </w:t>
      </w:r>
      <w:r w:rsidR="006A2060">
        <w:rPr>
          <w:b w:val="0"/>
          <w:bCs/>
        </w:rPr>
        <w:t xml:space="preserve">will be the same </w:t>
      </w:r>
      <w:r w:rsidR="006B6DC8">
        <w:rPr>
          <w:b w:val="0"/>
          <w:bCs/>
        </w:rPr>
        <w:t>expected for PC5.</w:t>
      </w:r>
      <w:bookmarkEnd w:id="4"/>
    </w:p>
    <w:p w14:paraId="55BB0DC4" w14:textId="13E8E676" w:rsidR="00DB6CE7" w:rsidRDefault="00DB6CE7" w:rsidP="00DB6CE7">
      <w:pPr>
        <w:pStyle w:val="Caption"/>
        <w:rPr>
          <w:b w:val="0"/>
          <w:bCs/>
        </w:rPr>
      </w:pPr>
      <w:bookmarkStart w:id="5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E1D04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FA2C90">
        <w:rPr>
          <w:b w:val="0"/>
          <w:bCs/>
        </w:rPr>
        <w:t>For OBW test case, for PC6, define MU and TT same as defined for PC5</w:t>
      </w:r>
      <w:r w:rsidRPr="008E7AF7">
        <w:rPr>
          <w:b w:val="0"/>
          <w:bCs/>
        </w:rPr>
        <w:t>.</w:t>
      </w:r>
      <w:bookmarkEnd w:id="5"/>
    </w:p>
    <w:p w14:paraId="1EE87862" w14:textId="77777777" w:rsidR="00B12E3A" w:rsidRDefault="00B12E3A" w:rsidP="00B12E3A"/>
    <w:p w14:paraId="1468E6F9" w14:textId="77777777" w:rsidR="00345172" w:rsidRPr="00B12E3A" w:rsidRDefault="00345172" w:rsidP="00345172"/>
    <w:p w14:paraId="1771A63E" w14:textId="5E26324E" w:rsidR="00345172" w:rsidRPr="00423F6F" w:rsidRDefault="00345172" w:rsidP="00345172">
      <w:pPr>
        <w:pStyle w:val="Heading2"/>
        <w:numPr>
          <w:ilvl w:val="1"/>
          <w:numId w:val="42"/>
        </w:numPr>
        <w:ind w:left="709" w:hanging="709"/>
        <w:rPr>
          <w:lang w:eastAsia="en-GB"/>
        </w:rPr>
      </w:pPr>
      <w:r>
        <w:rPr>
          <w:lang w:eastAsia="en-GB"/>
        </w:rPr>
        <w:t>EVM</w:t>
      </w:r>
    </w:p>
    <w:p w14:paraId="4CC21DDB" w14:textId="12998E8A" w:rsidR="003160B6" w:rsidRDefault="003160B6" w:rsidP="00345172">
      <w:r>
        <w:t xml:space="preserve">In EVM test case 6.4.2.1 in TS 38.521-2 </w:t>
      </w:r>
      <w:r>
        <w:fldChar w:fldCharType="begin"/>
      </w:r>
      <w:r>
        <w:instrText xml:space="preserve"> REF _Ref187757236 \r \h </w:instrText>
      </w:r>
      <w:r>
        <w:fldChar w:fldCharType="separate"/>
      </w:r>
      <w:r w:rsidR="000E1D04">
        <w:t>[3]</w:t>
      </w:r>
      <w:r>
        <w:fldChar w:fldCharType="end"/>
      </w:r>
      <w:r w:rsidR="00F70415">
        <w:t>, also UE power is pushed to its maximum, at le</w:t>
      </w:r>
      <w:r w:rsidR="00C255D2">
        <w:t>a</w:t>
      </w:r>
      <w:r w:rsidR="00F70415">
        <w:t>st whe</w:t>
      </w:r>
      <w:r w:rsidR="00C255D2">
        <w:t>n</w:t>
      </w:r>
      <w:r w:rsidR="00F70415">
        <w:t xml:space="preserve"> PUSCH or PUCCH are tested. As per analysis made</w:t>
      </w:r>
      <w:r w:rsidR="008648AA">
        <w:t xml:space="preserve"> in </w:t>
      </w:r>
      <w:r w:rsidR="008648AA">
        <w:fldChar w:fldCharType="begin"/>
      </w:r>
      <w:r w:rsidR="008648AA">
        <w:instrText xml:space="preserve"> REF _Ref187757601 \r \h </w:instrText>
      </w:r>
      <w:r w:rsidR="008648AA">
        <w:fldChar w:fldCharType="separate"/>
      </w:r>
      <w:r w:rsidR="000E1D04">
        <w:t>[2]</w:t>
      </w:r>
      <w:r w:rsidR="008648AA">
        <w:fldChar w:fldCharType="end"/>
      </w:r>
      <w:r w:rsidR="00F70415">
        <w:t xml:space="preserve">, </w:t>
      </w:r>
      <w:r w:rsidR="008648AA">
        <w:t xml:space="preserve">EVM MU depends on the available SNR and the intrinsic TE EVM. </w:t>
      </w:r>
      <w:r w:rsidR="0042796A">
        <w:t>From those 2 MU factors, only the one depending on the available SNR will have a dependency with the power class</w:t>
      </w:r>
      <w:r w:rsidR="002B2C97">
        <w:t xml:space="preserve"> due to the maximum output power and applicable MPR for a given test point will depend on the power class.</w:t>
      </w:r>
    </w:p>
    <w:p w14:paraId="631F6A8A" w14:textId="051405CF" w:rsidR="00C255D2" w:rsidRDefault="00C255D2" w:rsidP="00345172">
      <w:r>
        <w:lastRenderedPageBreak/>
        <w:t>In EVM test case</w:t>
      </w:r>
      <w:r w:rsidR="00837DC4">
        <w:t xml:space="preserve"> in current definition, 64QAM is the highest modulation tested. </w:t>
      </w:r>
      <w:r w:rsidR="00F1545B">
        <w:t>Therefore</w:t>
      </w:r>
      <w:r w:rsidR="00837DC4">
        <w:t>, as per explanations made for OBW test above, for PC6 UEs, for MU analysis sa</w:t>
      </w:r>
      <w:r w:rsidR="00797A64">
        <w:t>m</w:t>
      </w:r>
      <w:r w:rsidR="00837DC4">
        <w:t xml:space="preserve">e SNR as for PC5 must be assumed. </w:t>
      </w:r>
    </w:p>
    <w:p w14:paraId="75892087" w14:textId="15C60997" w:rsidR="00837DC4" w:rsidRDefault="00837DC4" w:rsidP="00345172">
      <w:r>
        <w:t>Therefore, it can be concluded and proposed to define EVM MU and TT for PC6, PUSCH and PUCCH, same as already defined for PC5.</w:t>
      </w:r>
    </w:p>
    <w:p w14:paraId="2F372838" w14:textId="77AE1A29" w:rsidR="00837DC4" w:rsidRDefault="00837DC4" w:rsidP="00837DC4">
      <w:pPr>
        <w:pStyle w:val="Caption"/>
        <w:rPr>
          <w:b w:val="0"/>
          <w:bCs/>
        </w:rPr>
      </w:pPr>
      <w:bookmarkStart w:id="6" w:name="_Ref18800337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E1D04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EVM test case, for </w:t>
      </w:r>
      <w:r w:rsidRPr="00837DC4">
        <w:rPr>
          <w:b w:val="0"/>
          <w:bCs/>
        </w:rPr>
        <w:t>PUSCH and PUCCH</w:t>
      </w:r>
      <w:r w:rsidR="0072762C">
        <w:rPr>
          <w:b w:val="0"/>
          <w:bCs/>
        </w:rPr>
        <w:t>, define</w:t>
      </w:r>
      <w:r w:rsidRPr="00837DC4">
        <w:rPr>
          <w:b w:val="0"/>
          <w:bCs/>
        </w:rPr>
        <w:t xml:space="preserve"> </w:t>
      </w:r>
      <w:r>
        <w:rPr>
          <w:b w:val="0"/>
          <w:bCs/>
        </w:rPr>
        <w:t>MU and TT same as defined for PC5</w:t>
      </w:r>
      <w:r w:rsidRPr="008E7AF7">
        <w:rPr>
          <w:b w:val="0"/>
          <w:bCs/>
        </w:rPr>
        <w:t>.</w:t>
      </w:r>
      <w:bookmarkEnd w:id="6"/>
    </w:p>
    <w:p w14:paraId="7F2DB437" w14:textId="77777777" w:rsidR="00345172" w:rsidRPr="00394D7F" w:rsidRDefault="00345172" w:rsidP="00345172"/>
    <w:p w14:paraId="72939745" w14:textId="77777777" w:rsidR="00B12E3A" w:rsidRPr="00B12E3A" w:rsidRDefault="00B12E3A" w:rsidP="00B12E3A"/>
    <w:p w14:paraId="0F346C94" w14:textId="2ED91D86" w:rsidR="00394D7F" w:rsidRPr="00423F6F" w:rsidRDefault="00345172" w:rsidP="00394D7F">
      <w:pPr>
        <w:pStyle w:val="Heading2"/>
        <w:numPr>
          <w:ilvl w:val="1"/>
          <w:numId w:val="42"/>
        </w:numPr>
        <w:ind w:left="709" w:hanging="709"/>
        <w:rPr>
          <w:lang w:eastAsia="en-GB"/>
        </w:rPr>
      </w:pPr>
      <w:r>
        <w:rPr>
          <w:lang w:eastAsia="en-GB"/>
        </w:rPr>
        <w:t>Spurious</w:t>
      </w:r>
      <w:r w:rsidR="00286325">
        <w:rPr>
          <w:lang w:eastAsia="en-GB"/>
        </w:rPr>
        <w:t xml:space="preserve"> tests</w:t>
      </w:r>
    </w:p>
    <w:p w14:paraId="693621BC" w14:textId="7121FD18" w:rsidR="00394D7F" w:rsidRDefault="00B3115E" w:rsidP="00394D7F">
      <w:r>
        <w:t>As per analysis made in</w:t>
      </w:r>
      <w:r w:rsidR="00394D7F">
        <w:t xml:space="preserve"> </w:t>
      </w:r>
      <w:r w:rsidR="00394D7F">
        <w:fldChar w:fldCharType="begin"/>
      </w:r>
      <w:r w:rsidR="00394D7F">
        <w:instrText xml:space="preserve"> REF _Ref124155470 \r \h </w:instrText>
      </w:r>
      <w:r w:rsidR="00394D7F">
        <w:fldChar w:fldCharType="separate"/>
      </w:r>
      <w:r w:rsidR="000E1D04">
        <w:t>[1]</w:t>
      </w:r>
      <w:r w:rsidR="00394D7F">
        <w:fldChar w:fldCharType="end"/>
      </w:r>
      <w:r>
        <w:t>, influence of noise for any kind of spuriou</w:t>
      </w:r>
      <w:r w:rsidR="00302214">
        <w:t>s test case, General Spurious, Spurious co-existence, RX Spurious…</w:t>
      </w:r>
      <w:r w:rsidR="00E41D54">
        <w:t xml:space="preserve"> is the same for PC6 as for PC</w:t>
      </w:r>
      <w:r w:rsidR="00E354F7">
        <w:t xml:space="preserve">5.  If in addition we consider that in the mentioned </w:t>
      </w:r>
      <w:r w:rsidR="00234ADE">
        <w:t>test case there</w:t>
      </w:r>
      <w:r w:rsidR="00AC457B">
        <w:t xml:space="preserve"> are</w:t>
      </w:r>
      <w:r w:rsidR="00234ADE">
        <w:t xml:space="preserve"> defined no </w:t>
      </w:r>
      <w:proofErr w:type="gramStart"/>
      <w:r w:rsidR="00234ADE">
        <w:t>particular exception</w:t>
      </w:r>
      <w:proofErr w:type="gramEnd"/>
      <w:r w:rsidR="00234ADE">
        <w:t xml:space="preserve"> applicable per power class, it can be concluded and proposed to reuse</w:t>
      </w:r>
      <w:r w:rsidR="00675E8E">
        <w:t xml:space="preserve"> for PC6 the MU and TT already defined for PC5.</w:t>
      </w:r>
    </w:p>
    <w:p w14:paraId="27D5B91A" w14:textId="00D58F64" w:rsidR="00675E8E" w:rsidRDefault="00675E8E" w:rsidP="00394D7F">
      <w:bookmarkStart w:id="7" w:name="_Ref188003373"/>
      <w:r w:rsidRPr="00675E8E">
        <w:rPr>
          <w:b/>
          <w:bCs/>
        </w:rPr>
        <w:t xml:space="preserve">Proposal </w:t>
      </w:r>
      <w:r w:rsidRPr="00675E8E">
        <w:rPr>
          <w:b/>
          <w:bCs/>
        </w:rPr>
        <w:fldChar w:fldCharType="begin"/>
      </w:r>
      <w:r w:rsidRPr="00675E8E">
        <w:rPr>
          <w:b/>
          <w:bCs/>
        </w:rPr>
        <w:instrText xml:space="preserve"> SEQ Proposal \* ARABIC </w:instrText>
      </w:r>
      <w:r w:rsidRPr="00675E8E">
        <w:rPr>
          <w:b/>
          <w:bCs/>
        </w:rPr>
        <w:fldChar w:fldCharType="separate"/>
      </w:r>
      <w:r w:rsidR="000E1D04">
        <w:rPr>
          <w:b/>
          <w:bCs/>
          <w:noProof/>
        </w:rPr>
        <w:t>3</w:t>
      </w:r>
      <w:r w:rsidRPr="00675E8E">
        <w:rPr>
          <w:b/>
          <w:bCs/>
        </w:rPr>
        <w:fldChar w:fldCharType="end"/>
      </w:r>
      <w:r w:rsidRPr="00675E8E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</w:t>
      </w:r>
      <w:r w:rsidR="00EA68AF">
        <w:rPr>
          <w:bCs/>
        </w:rPr>
        <w:t>all Spurious test cases where MU and TT are defined for PC5, reuse the values for PC6.</w:t>
      </w:r>
      <w:bookmarkEnd w:id="7"/>
    </w:p>
    <w:p w14:paraId="0138853C" w14:textId="04552983" w:rsidR="00675E8E" w:rsidRDefault="00FD37D8" w:rsidP="00394D7F">
      <w:r>
        <w:t xml:space="preserve">It must be remarked in general that </w:t>
      </w:r>
      <w:r w:rsidR="009367C9">
        <w:t xml:space="preserve">in case of PC6, MU and TT must be defined for band </w:t>
      </w:r>
      <w:proofErr w:type="gramStart"/>
      <w:r w:rsidR="009367C9">
        <w:t>n261</w:t>
      </w:r>
      <w:proofErr w:type="gramEnd"/>
      <w:r w:rsidR="009367C9">
        <w:t xml:space="preserve"> but such a band is not applicable for PC5. Therefore, when reusing MU and TT</w:t>
      </w:r>
      <w:r w:rsidR="00DE4158">
        <w:t xml:space="preserve"> from PC5 to PC6, the addition of band n261 </w:t>
      </w:r>
      <w:r w:rsidR="00C255B2">
        <w:t xml:space="preserve">must only been made for PC6. </w:t>
      </w:r>
      <w:r w:rsidR="008E2B11">
        <w:t>All power requirements for band n261 for PC6 are the same as for band n257</w:t>
      </w:r>
      <w:r w:rsidR="006D5597">
        <w:t xml:space="preserve"> and this band is </w:t>
      </w:r>
      <w:r w:rsidR="003C1D6C">
        <w:t>applicable to PC5.</w:t>
      </w:r>
    </w:p>
    <w:p w14:paraId="1FC7ED43" w14:textId="77777777" w:rsidR="003C1D6C" w:rsidRDefault="003C1D6C" w:rsidP="00394D7F"/>
    <w:p w14:paraId="5CB91D6F" w14:textId="76ACB48D" w:rsidR="00394D7F" w:rsidRPr="00E66C37" w:rsidRDefault="00394D7F" w:rsidP="00394D7F">
      <w:pPr>
        <w:pStyle w:val="Caption"/>
      </w:pPr>
      <w:bookmarkStart w:id="8" w:name="_Ref188003374"/>
      <w:bookmarkStart w:id="9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E1D04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3C1D6C">
        <w:rPr>
          <w:b w:val="0"/>
          <w:bCs/>
        </w:rPr>
        <w:t>For PC6,</w:t>
      </w:r>
      <w:r w:rsidR="004A10D3">
        <w:rPr>
          <w:b w:val="0"/>
          <w:bCs/>
        </w:rPr>
        <w:t xml:space="preserve"> define</w:t>
      </w:r>
      <w:r w:rsidR="003C1D6C">
        <w:rPr>
          <w:b w:val="0"/>
          <w:bCs/>
        </w:rPr>
        <w:t xml:space="preserve"> MU</w:t>
      </w:r>
      <w:r w:rsidR="004A10D3">
        <w:rPr>
          <w:b w:val="0"/>
          <w:bCs/>
        </w:rPr>
        <w:t xml:space="preserve"> and TT for band n261 same as for n257</w:t>
      </w:r>
      <w:r w:rsidR="00DC1DD0">
        <w:rPr>
          <w:b w:val="0"/>
          <w:bCs/>
        </w:rPr>
        <w:t xml:space="preserve"> clarifying, in case values are reused from PC5, that </w:t>
      </w:r>
      <w:r w:rsidR="00D12F3D">
        <w:rPr>
          <w:b w:val="0"/>
          <w:bCs/>
        </w:rPr>
        <w:t xml:space="preserve">band n261 </w:t>
      </w:r>
      <w:r w:rsidR="000E2CBA">
        <w:rPr>
          <w:b w:val="0"/>
          <w:bCs/>
        </w:rPr>
        <w:t>is</w:t>
      </w:r>
      <w:r w:rsidR="00D12F3D">
        <w:rPr>
          <w:b w:val="0"/>
          <w:bCs/>
        </w:rPr>
        <w:t xml:space="preserve"> exclusive to PC6.</w:t>
      </w:r>
      <w:bookmarkEnd w:id="8"/>
      <w:r w:rsidR="00DC1DD0">
        <w:rPr>
          <w:b w:val="0"/>
          <w:bCs/>
        </w:rPr>
        <w:t xml:space="preserve"> </w:t>
      </w:r>
      <w:bookmarkEnd w:id="9"/>
    </w:p>
    <w:p w14:paraId="68B6FC13" w14:textId="77777777" w:rsidR="006A0C80" w:rsidRDefault="006A0C80" w:rsidP="006A0C80"/>
    <w:p w14:paraId="7577C7AF" w14:textId="77777777" w:rsidR="00394D7F" w:rsidRPr="00394D7F" w:rsidRDefault="00394D7F" w:rsidP="00394D7F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01B56B03" w14:textId="109B8D3E" w:rsidR="00D12F3D" w:rsidRPr="00D12F3D" w:rsidRDefault="00D12F3D" w:rsidP="00F6267E">
      <w:pPr>
        <w:rPr>
          <w:i/>
        </w:rPr>
      </w:pPr>
      <w:r w:rsidRPr="00D12F3D">
        <w:rPr>
          <w:i/>
        </w:rPr>
        <w:fldChar w:fldCharType="begin"/>
      </w:r>
      <w:r w:rsidRPr="00D12F3D">
        <w:rPr>
          <w:i/>
        </w:rPr>
        <w:instrText xml:space="preserve"> REF _Ref188003369 \h </w:instrText>
      </w:r>
      <w:r>
        <w:rPr>
          <w:i/>
        </w:rPr>
        <w:instrText xml:space="preserve"> \* MERGEFORMAT </w:instrText>
      </w:r>
      <w:r w:rsidRPr="00D12F3D">
        <w:rPr>
          <w:i/>
        </w:rPr>
      </w:r>
      <w:r w:rsidRPr="00D12F3D">
        <w:rPr>
          <w:i/>
        </w:rPr>
        <w:fldChar w:fldCharType="separate"/>
      </w:r>
      <w:r w:rsidR="00C50AD3" w:rsidRPr="00C50AD3">
        <w:rPr>
          <w:b/>
          <w:bCs/>
          <w:i/>
        </w:rPr>
        <w:t xml:space="preserve">Observation </w:t>
      </w:r>
      <w:r w:rsidR="00C50AD3" w:rsidRPr="00C50AD3">
        <w:rPr>
          <w:b/>
          <w:bCs/>
          <w:i/>
          <w:noProof/>
        </w:rPr>
        <w:t>1.</w:t>
      </w:r>
      <w:r w:rsidR="00C50AD3" w:rsidRPr="00C50AD3">
        <w:rPr>
          <w:i/>
        </w:rPr>
        <w:t xml:space="preserve"> </w:t>
      </w:r>
      <w:r w:rsidR="00C50AD3" w:rsidRPr="00C50AD3">
        <w:rPr>
          <w:bCs/>
          <w:i/>
        </w:rPr>
        <w:t>In OBW test case, requirements are independent of the power class and are only verified using QPSK via EIRP measurements while UE power is pushed to its maximum.</w:t>
      </w:r>
      <w:r w:rsidRPr="00D12F3D">
        <w:rPr>
          <w:i/>
        </w:rPr>
        <w:fldChar w:fldCharType="end"/>
      </w:r>
    </w:p>
    <w:p w14:paraId="30E7872D" w14:textId="551B656D" w:rsidR="00D12F3D" w:rsidRPr="00D12F3D" w:rsidRDefault="00D12F3D" w:rsidP="00F6267E">
      <w:pPr>
        <w:rPr>
          <w:i/>
        </w:rPr>
      </w:pPr>
      <w:r w:rsidRPr="00D12F3D">
        <w:rPr>
          <w:i/>
        </w:rPr>
        <w:fldChar w:fldCharType="begin"/>
      </w:r>
      <w:r w:rsidRPr="00D12F3D">
        <w:rPr>
          <w:i/>
        </w:rPr>
        <w:instrText xml:space="preserve"> REF _Ref188003370 \h </w:instrText>
      </w:r>
      <w:r>
        <w:rPr>
          <w:i/>
        </w:rPr>
        <w:instrText xml:space="preserve"> \* MERGEFORMAT </w:instrText>
      </w:r>
      <w:r w:rsidRPr="00D12F3D">
        <w:rPr>
          <w:i/>
        </w:rPr>
      </w:r>
      <w:r w:rsidRPr="00D12F3D">
        <w:rPr>
          <w:i/>
        </w:rPr>
        <w:fldChar w:fldCharType="separate"/>
      </w:r>
      <w:r w:rsidR="00C50AD3" w:rsidRPr="00C50AD3">
        <w:rPr>
          <w:b/>
          <w:bCs/>
          <w:i/>
        </w:rPr>
        <w:t xml:space="preserve">Observation </w:t>
      </w:r>
      <w:r w:rsidR="00C50AD3" w:rsidRPr="00C50AD3">
        <w:rPr>
          <w:b/>
          <w:bCs/>
          <w:i/>
          <w:noProof/>
        </w:rPr>
        <w:t>2.</w:t>
      </w:r>
      <w:r w:rsidR="00C50AD3" w:rsidRPr="00C50AD3">
        <w:rPr>
          <w:b/>
          <w:bCs/>
          <w:i/>
        </w:rPr>
        <w:t xml:space="preserve"> </w:t>
      </w:r>
      <w:r w:rsidR="00C50AD3" w:rsidRPr="00C50AD3">
        <w:rPr>
          <w:bCs/>
          <w:i/>
        </w:rPr>
        <w:t>In OBW test case, in worst case analysis, expected minimum UE power for PC6 will be the same expected for PC5.</w:t>
      </w:r>
      <w:r w:rsidRPr="00D12F3D">
        <w:rPr>
          <w:i/>
        </w:rPr>
        <w:fldChar w:fldCharType="end"/>
      </w:r>
    </w:p>
    <w:p w14:paraId="1F44C37E" w14:textId="52A990FA" w:rsidR="00D12F3D" w:rsidRPr="00D12F3D" w:rsidRDefault="00D12F3D" w:rsidP="00F6267E">
      <w:pPr>
        <w:rPr>
          <w:bCs/>
        </w:rPr>
      </w:pPr>
      <w:r w:rsidRPr="00D12F3D">
        <w:rPr>
          <w:bCs/>
        </w:rPr>
        <w:fldChar w:fldCharType="begin"/>
      </w:r>
      <w:r w:rsidRPr="00D12F3D">
        <w:rPr>
          <w:bCs/>
        </w:rPr>
        <w:instrText xml:space="preserve"> REF _Ref115975103 \h </w:instrText>
      </w:r>
      <w:r>
        <w:rPr>
          <w:bCs/>
        </w:rPr>
        <w:instrText xml:space="preserve"> \* MERGEFORMAT </w:instrText>
      </w:r>
      <w:r w:rsidRPr="00D12F3D">
        <w:rPr>
          <w:bCs/>
        </w:rPr>
      </w:r>
      <w:r w:rsidRPr="00D12F3D">
        <w:rPr>
          <w:bCs/>
        </w:rPr>
        <w:fldChar w:fldCharType="separate"/>
      </w:r>
      <w:r w:rsidR="00C50AD3" w:rsidRPr="00C50AD3">
        <w:rPr>
          <w:b/>
        </w:rPr>
        <w:t xml:space="preserve">Proposal </w:t>
      </w:r>
      <w:r w:rsidR="00C50AD3" w:rsidRPr="00C50AD3">
        <w:rPr>
          <w:b/>
          <w:noProof/>
        </w:rPr>
        <w:t>1.</w:t>
      </w:r>
      <w:r w:rsidR="00C50AD3" w:rsidRPr="00C50AD3">
        <w:rPr>
          <w:bCs/>
        </w:rPr>
        <w:t xml:space="preserve"> </w:t>
      </w:r>
      <w:r w:rsidR="00C50AD3">
        <w:rPr>
          <w:bCs/>
        </w:rPr>
        <w:t>For OBW test case, for PC6, define MU and TT same as defined for PC5</w:t>
      </w:r>
      <w:r w:rsidR="00C50AD3" w:rsidRPr="008E7AF7">
        <w:rPr>
          <w:bCs/>
        </w:rPr>
        <w:t>.</w:t>
      </w:r>
      <w:r w:rsidRPr="00D12F3D">
        <w:rPr>
          <w:bCs/>
        </w:rPr>
        <w:fldChar w:fldCharType="end"/>
      </w:r>
    </w:p>
    <w:p w14:paraId="6E23D2F4" w14:textId="6AE8B689" w:rsidR="00D12F3D" w:rsidRPr="00D12F3D" w:rsidRDefault="00D12F3D" w:rsidP="00F6267E">
      <w:pPr>
        <w:rPr>
          <w:bCs/>
        </w:rPr>
      </w:pPr>
      <w:r w:rsidRPr="00D12F3D">
        <w:rPr>
          <w:bCs/>
        </w:rPr>
        <w:fldChar w:fldCharType="begin"/>
      </w:r>
      <w:r w:rsidRPr="00D12F3D">
        <w:rPr>
          <w:bCs/>
        </w:rPr>
        <w:instrText xml:space="preserve"> REF _Ref188003372 \h </w:instrText>
      </w:r>
      <w:r>
        <w:rPr>
          <w:bCs/>
        </w:rPr>
        <w:instrText xml:space="preserve"> \* MERGEFORMAT </w:instrText>
      </w:r>
      <w:r w:rsidRPr="00D12F3D">
        <w:rPr>
          <w:bCs/>
        </w:rPr>
      </w:r>
      <w:r w:rsidRPr="00D12F3D">
        <w:rPr>
          <w:bCs/>
        </w:rPr>
        <w:fldChar w:fldCharType="separate"/>
      </w:r>
      <w:r w:rsidR="00C50AD3" w:rsidRPr="00C50AD3">
        <w:rPr>
          <w:b/>
        </w:rPr>
        <w:t xml:space="preserve">Proposal </w:t>
      </w:r>
      <w:r w:rsidR="00C50AD3" w:rsidRPr="00C50AD3">
        <w:rPr>
          <w:b/>
          <w:noProof/>
        </w:rPr>
        <w:t>2.</w:t>
      </w:r>
      <w:r w:rsidR="00C50AD3" w:rsidRPr="00C50AD3">
        <w:rPr>
          <w:bCs/>
        </w:rPr>
        <w:t xml:space="preserve"> </w:t>
      </w:r>
      <w:r w:rsidR="00C50AD3">
        <w:rPr>
          <w:bCs/>
        </w:rPr>
        <w:t xml:space="preserve">For EVM test case, for </w:t>
      </w:r>
      <w:r w:rsidR="00C50AD3" w:rsidRPr="00837DC4">
        <w:rPr>
          <w:bCs/>
        </w:rPr>
        <w:t>PUSCH and PUCCH</w:t>
      </w:r>
      <w:r w:rsidR="00C50AD3">
        <w:rPr>
          <w:bCs/>
        </w:rPr>
        <w:t>, define</w:t>
      </w:r>
      <w:r w:rsidR="00C50AD3" w:rsidRPr="00837DC4">
        <w:rPr>
          <w:bCs/>
        </w:rPr>
        <w:t xml:space="preserve"> </w:t>
      </w:r>
      <w:r w:rsidR="00C50AD3">
        <w:rPr>
          <w:bCs/>
        </w:rPr>
        <w:t>MU and TT same as defined for PC5</w:t>
      </w:r>
      <w:r w:rsidR="00C50AD3" w:rsidRPr="008E7AF7">
        <w:rPr>
          <w:bCs/>
        </w:rPr>
        <w:t>.</w:t>
      </w:r>
      <w:r w:rsidRPr="00D12F3D">
        <w:rPr>
          <w:bCs/>
        </w:rPr>
        <w:fldChar w:fldCharType="end"/>
      </w:r>
    </w:p>
    <w:p w14:paraId="34C66128" w14:textId="2BF12B20" w:rsidR="00D12F3D" w:rsidRPr="00D12F3D" w:rsidRDefault="00D12F3D" w:rsidP="00F6267E">
      <w:pPr>
        <w:rPr>
          <w:bCs/>
        </w:rPr>
      </w:pPr>
      <w:r w:rsidRPr="00D12F3D">
        <w:rPr>
          <w:bCs/>
        </w:rPr>
        <w:fldChar w:fldCharType="begin"/>
      </w:r>
      <w:r w:rsidRPr="00D12F3D">
        <w:rPr>
          <w:bCs/>
        </w:rPr>
        <w:instrText xml:space="preserve"> REF _Ref188003373 \h </w:instrText>
      </w:r>
      <w:r>
        <w:rPr>
          <w:bCs/>
        </w:rPr>
        <w:instrText xml:space="preserve"> \* MERGEFORMAT </w:instrText>
      </w:r>
      <w:r w:rsidRPr="00D12F3D">
        <w:rPr>
          <w:bCs/>
        </w:rPr>
      </w:r>
      <w:r w:rsidRPr="00D12F3D">
        <w:rPr>
          <w:bCs/>
        </w:rPr>
        <w:fldChar w:fldCharType="separate"/>
      </w:r>
      <w:r w:rsidR="00C50AD3" w:rsidRPr="00C50AD3">
        <w:rPr>
          <w:b/>
        </w:rPr>
        <w:t xml:space="preserve">Proposal </w:t>
      </w:r>
      <w:r w:rsidR="00C50AD3" w:rsidRPr="00C50AD3">
        <w:rPr>
          <w:b/>
          <w:noProof/>
        </w:rPr>
        <w:t>3.</w:t>
      </w:r>
      <w:r w:rsidR="00C50AD3" w:rsidRPr="00C50AD3">
        <w:rPr>
          <w:bCs/>
        </w:rPr>
        <w:t xml:space="preserve"> </w:t>
      </w:r>
      <w:r w:rsidR="00C50AD3">
        <w:rPr>
          <w:bCs/>
        </w:rPr>
        <w:t>For all Spurious test cases where MU and TT are defined for PC5, reuse the values for PC6.</w:t>
      </w:r>
      <w:r w:rsidRPr="00D12F3D">
        <w:rPr>
          <w:bCs/>
        </w:rPr>
        <w:fldChar w:fldCharType="end"/>
      </w:r>
    </w:p>
    <w:p w14:paraId="358FE8EE" w14:textId="73D34CD7" w:rsidR="00D12F3D" w:rsidRPr="00D12F3D" w:rsidRDefault="00D12F3D" w:rsidP="00F6267E">
      <w:pPr>
        <w:rPr>
          <w:bCs/>
        </w:rPr>
      </w:pPr>
      <w:r w:rsidRPr="00D12F3D">
        <w:rPr>
          <w:bCs/>
        </w:rPr>
        <w:fldChar w:fldCharType="begin"/>
      </w:r>
      <w:r w:rsidRPr="00D12F3D">
        <w:rPr>
          <w:bCs/>
        </w:rPr>
        <w:instrText xml:space="preserve"> REF _Ref188003374 \h </w:instrText>
      </w:r>
      <w:r>
        <w:rPr>
          <w:bCs/>
        </w:rPr>
        <w:instrText xml:space="preserve"> \* MERGEFORMAT </w:instrText>
      </w:r>
      <w:r w:rsidRPr="00D12F3D">
        <w:rPr>
          <w:bCs/>
        </w:rPr>
      </w:r>
      <w:r w:rsidRPr="00D12F3D">
        <w:rPr>
          <w:bCs/>
        </w:rPr>
        <w:fldChar w:fldCharType="separate"/>
      </w:r>
      <w:r w:rsidR="00C50AD3" w:rsidRPr="00C50AD3">
        <w:rPr>
          <w:b/>
        </w:rPr>
        <w:t xml:space="preserve">Proposal </w:t>
      </w:r>
      <w:r w:rsidR="00C50AD3" w:rsidRPr="00C50AD3">
        <w:rPr>
          <w:b/>
          <w:noProof/>
        </w:rPr>
        <w:t>4.</w:t>
      </w:r>
      <w:r w:rsidR="00C50AD3" w:rsidRPr="00C50AD3">
        <w:rPr>
          <w:bCs/>
        </w:rPr>
        <w:t xml:space="preserve"> </w:t>
      </w:r>
      <w:r w:rsidR="00C50AD3">
        <w:rPr>
          <w:bCs/>
        </w:rPr>
        <w:t>For PC6, define MU and TT for band n261 same as for n257 clarifying, in case values are reused from PC5, that band n261 is exclusive to PC6.</w:t>
      </w:r>
      <w:r w:rsidRPr="00D12F3D">
        <w:rPr>
          <w:bCs/>
        </w:rPr>
        <w:fldChar w:fldCharType="end"/>
      </w:r>
    </w:p>
    <w:p w14:paraId="2411B4F0" w14:textId="4556FF60" w:rsidR="006A68BD" w:rsidRDefault="006A68BD" w:rsidP="00F6267E"/>
    <w:p w14:paraId="0F5CEE80" w14:textId="77777777" w:rsidR="00D12F3D" w:rsidRDefault="00D12F3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7E68977" w14:textId="77F1F918" w:rsidR="003404F4" w:rsidRPr="00B26AE5" w:rsidRDefault="003C69A5" w:rsidP="00CB54AD">
      <w:pPr>
        <w:numPr>
          <w:ilvl w:val="0"/>
          <w:numId w:val="5"/>
        </w:numPr>
        <w:tabs>
          <w:tab w:val="left" w:pos="426"/>
        </w:tabs>
      </w:pPr>
      <w:bookmarkStart w:id="10" w:name="_Ref124155470"/>
      <w:bookmarkStart w:id="11" w:name="_Ref187853909"/>
      <w:r>
        <w:t>R5-</w:t>
      </w:r>
      <w:r w:rsidR="00701E79" w:rsidRPr="00701E79">
        <w:t>244172</w:t>
      </w:r>
      <w:r>
        <w:t>, “</w:t>
      </w:r>
      <w:r w:rsidR="00C40E54" w:rsidRPr="00C40E54">
        <w:t xml:space="preserve">Discussion on Influence of noise for PC6 in </w:t>
      </w:r>
      <w:r w:rsidR="00C40E54" w:rsidRPr="00B26AE5">
        <w:t>FR2 test cases</w:t>
      </w:r>
      <w:r w:rsidRPr="00B26AE5">
        <w:t>”, Keysight, RAN5#</w:t>
      </w:r>
      <w:bookmarkEnd w:id="10"/>
      <w:r w:rsidR="00C40E54" w:rsidRPr="00B26AE5">
        <w:t>104</w:t>
      </w:r>
      <w:bookmarkEnd w:id="11"/>
    </w:p>
    <w:p w14:paraId="0A43B73E" w14:textId="62D9879C" w:rsidR="008648AA" w:rsidRPr="00B26AE5" w:rsidRDefault="008648AA" w:rsidP="00CB54AD">
      <w:pPr>
        <w:numPr>
          <w:ilvl w:val="0"/>
          <w:numId w:val="5"/>
        </w:numPr>
        <w:tabs>
          <w:tab w:val="left" w:pos="426"/>
        </w:tabs>
      </w:pPr>
      <w:bookmarkStart w:id="12" w:name="_Ref187757601"/>
      <w:r w:rsidRPr="00B26AE5">
        <w:t>R5-221615, “Discussion on MU and TT proposal for FR2 EVM”, Keysight, RAN5#94-e</w:t>
      </w:r>
      <w:bookmarkEnd w:id="12"/>
    </w:p>
    <w:p w14:paraId="718849E1" w14:textId="3B0E09EF" w:rsidR="000A10DB" w:rsidRPr="00B26AE5" w:rsidRDefault="000A10DB" w:rsidP="000A10DB">
      <w:pPr>
        <w:numPr>
          <w:ilvl w:val="0"/>
          <w:numId w:val="5"/>
        </w:numPr>
        <w:tabs>
          <w:tab w:val="left" w:pos="426"/>
        </w:tabs>
      </w:pPr>
      <w:bookmarkStart w:id="13" w:name="_Ref187757236"/>
      <w:r w:rsidRPr="00B26AE5">
        <w:rPr>
          <w:rFonts w:eastAsiaTheme="minorEastAsia"/>
        </w:rPr>
        <w:t>TS 38.521-2, “User Equipment (UE) conformance specification; Radio transmission and reception; Part 2: Range 2 Standalone”, v18.5.</w:t>
      </w:r>
      <w:r w:rsidR="00E87C21" w:rsidRPr="00B26AE5">
        <w:rPr>
          <w:rFonts w:eastAsiaTheme="minorEastAsia"/>
        </w:rPr>
        <w:t>2</w:t>
      </w:r>
      <w:r w:rsidRPr="00B26AE5">
        <w:rPr>
          <w:rFonts w:eastAsiaTheme="minorEastAsia"/>
        </w:rPr>
        <w:t>(2024-12)</w:t>
      </w:r>
      <w:bookmarkEnd w:id="13"/>
    </w:p>
    <w:p w14:paraId="243F4F9B" w14:textId="77777777" w:rsidR="000A10DB" w:rsidRPr="00B26AE5" w:rsidRDefault="000A10DB" w:rsidP="000A10DB">
      <w:pPr>
        <w:numPr>
          <w:ilvl w:val="0"/>
          <w:numId w:val="5"/>
        </w:numPr>
        <w:tabs>
          <w:tab w:val="left" w:pos="426"/>
        </w:tabs>
      </w:pPr>
      <w:bookmarkStart w:id="14" w:name="_Ref132624470"/>
      <w:r w:rsidRPr="00B26AE5">
        <w:t>TR 38.903, “Derivation of test tolerances and measurement uncertainty for User Equipment (UE) conformance test cases”, v18.5.0 (2024-12)</w:t>
      </w:r>
      <w:bookmarkEnd w:id="14"/>
    </w:p>
    <w:p w14:paraId="3044C335" w14:textId="574AF43A" w:rsidR="003C69A5" w:rsidRPr="00354167" w:rsidRDefault="003C69A5" w:rsidP="00B26AE5">
      <w:pPr>
        <w:tabs>
          <w:tab w:val="left" w:pos="426"/>
        </w:tabs>
        <w:ind w:left="360"/>
      </w:pPr>
    </w:p>
    <w:sectPr w:rsidR="003C69A5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CDF8" w14:textId="77777777" w:rsidR="00FC658D" w:rsidRDefault="00FC658D">
      <w:r>
        <w:separator/>
      </w:r>
    </w:p>
  </w:endnote>
  <w:endnote w:type="continuationSeparator" w:id="0">
    <w:p w14:paraId="0E955A95" w14:textId="77777777" w:rsidR="00FC658D" w:rsidRDefault="00FC658D">
      <w:r>
        <w:continuationSeparator/>
      </w:r>
    </w:p>
  </w:endnote>
  <w:endnote w:type="continuationNotice" w:id="1">
    <w:p w14:paraId="092CA37F" w14:textId="77777777" w:rsidR="00FC658D" w:rsidRDefault="00FC6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80491" w14:textId="77777777" w:rsidR="00FC658D" w:rsidRDefault="00FC658D">
      <w:r>
        <w:separator/>
      </w:r>
    </w:p>
  </w:footnote>
  <w:footnote w:type="continuationSeparator" w:id="0">
    <w:p w14:paraId="24EB5601" w14:textId="77777777" w:rsidR="00FC658D" w:rsidRDefault="00FC658D">
      <w:r>
        <w:continuationSeparator/>
      </w:r>
    </w:p>
  </w:footnote>
  <w:footnote w:type="continuationNotice" w:id="1">
    <w:p w14:paraId="3F29A40F" w14:textId="77777777" w:rsidR="00FC658D" w:rsidRDefault="00FC65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E527282"/>
    <w:multiLevelType w:val="hybridMultilevel"/>
    <w:tmpl w:val="8E9C9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1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0"/>
  </w:num>
  <w:num w:numId="42" w16cid:durableId="1276525213">
    <w:abstractNumId w:val="6"/>
  </w:num>
  <w:num w:numId="43" w16cid:durableId="2873228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7D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0DB"/>
    <w:rsid w:val="000A12C7"/>
    <w:rsid w:val="000A2A86"/>
    <w:rsid w:val="000A43B4"/>
    <w:rsid w:val="000B25D3"/>
    <w:rsid w:val="000C2440"/>
    <w:rsid w:val="000C3463"/>
    <w:rsid w:val="000C640F"/>
    <w:rsid w:val="000D202B"/>
    <w:rsid w:val="000D276C"/>
    <w:rsid w:val="000D39C6"/>
    <w:rsid w:val="000D6B69"/>
    <w:rsid w:val="000D6CFC"/>
    <w:rsid w:val="000E1D04"/>
    <w:rsid w:val="000E24A4"/>
    <w:rsid w:val="000E2CBA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35493"/>
    <w:rsid w:val="0014005E"/>
    <w:rsid w:val="00140084"/>
    <w:rsid w:val="0014206F"/>
    <w:rsid w:val="001423A1"/>
    <w:rsid w:val="001430FC"/>
    <w:rsid w:val="001458A3"/>
    <w:rsid w:val="00150086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43B5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1F27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ADE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6325"/>
    <w:rsid w:val="00287895"/>
    <w:rsid w:val="00287C09"/>
    <w:rsid w:val="0029076F"/>
    <w:rsid w:val="00293732"/>
    <w:rsid w:val="00296B9F"/>
    <w:rsid w:val="002A3EA3"/>
    <w:rsid w:val="002A4112"/>
    <w:rsid w:val="002A7017"/>
    <w:rsid w:val="002A7F4B"/>
    <w:rsid w:val="002B01BA"/>
    <w:rsid w:val="002B11F7"/>
    <w:rsid w:val="002B2C9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2214"/>
    <w:rsid w:val="003045CD"/>
    <w:rsid w:val="00306D8E"/>
    <w:rsid w:val="00307D2C"/>
    <w:rsid w:val="00313528"/>
    <w:rsid w:val="003160B6"/>
    <w:rsid w:val="00316602"/>
    <w:rsid w:val="00316890"/>
    <w:rsid w:val="003209E5"/>
    <w:rsid w:val="00323717"/>
    <w:rsid w:val="00323E23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5172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05C2"/>
    <w:rsid w:val="003C1D6C"/>
    <w:rsid w:val="003C2AAF"/>
    <w:rsid w:val="003C4291"/>
    <w:rsid w:val="003C47CE"/>
    <w:rsid w:val="003C5232"/>
    <w:rsid w:val="003C69A5"/>
    <w:rsid w:val="003D151F"/>
    <w:rsid w:val="003D1D54"/>
    <w:rsid w:val="003D2C79"/>
    <w:rsid w:val="003D472D"/>
    <w:rsid w:val="003D501F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45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96A"/>
    <w:rsid w:val="00427B4E"/>
    <w:rsid w:val="00431287"/>
    <w:rsid w:val="00437835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0D3"/>
    <w:rsid w:val="004A17C7"/>
    <w:rsid w:val="004A419F"/>
    <w:rsid w:val="004A4DD9"/>
    <w:rsid w:val="004A6B36"/>
    <w:rsid w:val="004A7D1A"/>
    <w:rsid w:val="004B27EC"/>
    <w:rsid w:val="004C2A16"/>
    <w:rsid w:val="004C68AF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7B81"/>
    <w:rsid w:val="00520CFC"/>
    <w:rsid w:val="00522C5E"/>
    <w:rsid w:val="005239FE"/>
    <w:rsid w:val="00526FA7"/>
    <w:rsid w:val="0053435C"/>
    <w:rsid w:val="00534F8F"/>
    <w:rsid w:val="00537FE6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4ED5"/>
    <w:rsid w:val="00566838"/>
    <w:rsid w:val="00580542"/>
    <w:rsid w:val="00580587"/>
    <w:rsid w:val="00581E88"/>
    <w:rsid w:val="00583627"/>
    <w:rsid w:val="0058392F"/>
    <w:rsid w:val="00584D2D"/>
    <w:rsid w:val="00585B23"/>
    <w:rsid w:val="005908D2"/>
    <w:rsid w:val="00590B5F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2CBD"/>
    <w:rsid w:val="005C331B"/>
    <w:rsid w:val="005C4593"/>
    <w:rsid w:val="005D6DA8"/>
    <w:rsid w:val="005E12CD"/>
    <w:rsid w:val="005E2166"/>
    <w:rsid w:val="005E2985"/>
    <w:rsid w:val="005E5D66"/>
    <w:rsid w:val="005F3B1B"/>
    <w:rsid w:val="00600FB0"/>
    <w:rsid w:val="00606366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809"/>
    <w:rsid w:val="006629B1"/>
    <w:rsid w:val="00665AD3"/>
    <w:rsid w:val="00675E8E"/>
    <w:rsid w:val="0068216A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0C80"/>
    <w:rsid w:val="006A2060"/>
    <w:rsid w:val="006A5A2A"/>
    <w:rsid w:val="006A5ED0"/>
    <w:rsid w:val="006A68BD"/>
    <w:rsid w:val="006B03F1"/>
    <w:rsid w:val="006B0D02"/>
    <w:rsid w:val="006B1C2F"/>
    <w:rsid w:val="006B363D"/>
    <w:rsid w:val="006B39EF"/>
    <w:rsid w:val="006B6DC8"/>
    <w:rsid w:val="006C2AF9"/>
    <w:rsid w:val="006C3A94"/>
    <w:rsid w:val="006C7E35"/>
    <w:rsid w:val="006D132D"/>
    <w:rsid w:val="006D2259"/>
    <w:rsid w:val="006D5597"/>
    <w:rsid w:val="006D6B1F"/>
    <w:rsid w:val="006E0429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1E79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62C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4B06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97A6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054D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37DC4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8AA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43CC"/>
    <w:rsid w:val="008A6143"/>
    <w:rsid w:val="008B0529"/>
    <w:rsid w:val="008B1F24"/>
    <w:rsid w:val="008B5C74"/>
    <w:rsid w:val="008C2308"/>
    <w:rsid w:val="008C60E9"/>
    <w:rsid w:val="008C7836"/>
    <w:rsid w:val="008D7BED"/>
    <w:rsid w:val="008E2B11"/>
    <w:rsid w:val="008E4413"/>
    <w:rsid w:val="008E4684"/>
    <w:rsid w:val="008E4F84"/>
    <w:rsid w:val="008E6844"/>
    <w:rsid w:val="008F08D9"/>
    <w:rsid w:val="008F1346"/>
    <w:rsid w:val="008F540C"/>
    <w:rsid w:val="008F7AA4"/>
    <w:rsid w:val="008F7D93"/>
    <w:rsid w:val="0090175C"/>
    <w:rsid w:val="0090512F"/>
    <w:rsid w:val="0090524D"/>
    <w:rsid w:val="009064E9"/>
    <w:rsid w:val="009076E4"/>
    <w:rsid w:val="00911B1A"/>
    <w:rsid w:val="00916F35"/>
    <w:rsid w:val="00923759"/>
    <w:rsid w:val="009249BE"/>
    <w:rsid w:val="00925B2A"/>
    <w:rsid w:val="00931702"/>
    <w:rsid w:val="00931918"/>
    <w:rsid w:val="00932F29"/>
    <w:rsid w:val="009367C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58FF"/>
    <w:rsid w:val="009564E9"/>
    <w:rsid w:val="00957EF1"/>
    <w:rsid w:val="00964105"/>
    <w:rsid w:val="00970A06"/>
    <w:rsid w:val="0097133C"/>
    <w:rsid w:val="00972528"/>
    <w:rsid w:val="009742E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276B"/>
    <w:rsid w:val="00A0432E"/>
    <w:rsid w:val="00A079A7"/>
    <w:rsid w:val="00A165D9"/>
    <w:rsid w:val="00A17573"/>
    <w:rsid w:val="00A17BDA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623E"/>
    <w:rsid w:val="00A97CB6"/>
    <w:rsid w:val="00AA28BF"/>
    <w:rsid w:val="00AA3D6A"/>
    <w:rsid w:val="00AA42AF"/>
    <w:rsid w:val="00AA55D3"/>
    <w:rsid w:val="00AA69E4"/>
    <w:rsid w:val="00AA7169"/>
    <w:rsid w:val="00AA7233"/>
    <w:rsid w:val="00AB0C5E"/>
    <w:rsid w:val="00AB25ED"/>
    <w:rsid w:val="00AB32B3"/>
    <w:rsid w:val="00AB3F85"/>
    <w:rsid w:val="00AB4AC5"/>
    <w:rsid w:val="00AC457B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2E3A"/>
    <w:rsid w:val="00B14BC8"/>
    <w:rsid w:val="00B20C57"/>
    <w:rsid w:val="00B21D87"/>
    <w:rsid w:val="00B22ADA"/>
    <w:rsid w:val="00B24E76"/>
    <w:rsid w:val="00B26AE5"/>
    <w:rsid w:val="00B3115E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3B03"/>
    <w:rsid w:val="00C255B2"/>
    <w:rsid w:val="00C255D2"/>
    <w:rsid w:val="00C26EE8"/>
    <w:rsid w:val="00C27377"/>
    <w:rsid w:val="00C313B8"/>
    <w:rsid w:val="00C31D69"/>
    <w:rsid w:val="00C401B8"/>
    <w:rsid w:val="00C40E54"/>
    <w:rsid w:val="00C42EBF"/>
    <w:rsid w:val="00C42F12"/>
    <w:rsid w:val="00C451D8"/>
    <w:rsid w:val="00C475DA"/>
    <w:rsid w:val="00C50AD3"/>
    <w:rsid w:val="00C56792"/>
    <w:rsid w:val="00C6278C"/>
    <w:rsid w:val="00C63AA2"/>
    <w:rsid w:val="00C65422"/>
    <w:rsid w:val="00C6599B"/>
    <w:rsid w:val="00C76F04"/>
    <w:rsid w:val="00C80045"/>
    <w:rsid w:val="00C804C3"/>
    <w:rsid w:val="00C807DB"/>
    <w:rsid w:val="00C81268"/>
    <w:rsid w:val="00C83771"/>
    <w:rsid w:val="00C87851"/>
    <w:rsid w:val="00C9025C"/>
    <w:rsid w:val="00C913BB"/>
    <w:rsid w:val="00C918DA"/>
    <w:rsid w:val="00C93744"/>
    <w:rsid w:val="00C946C3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7CD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4F41"/>
    <w:rsid w:val="00D076FD"/>
    <w:rsid w:val="00D1118A"/>
    <w:rsid w:val="00D12CB8"/>
    <w:rsid w:val="00D12F3D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4365"/>
    <w:rsid w:val="00D70DBC"/>
    <w:rsid w:val="00D7306B"/>
    <w:rsid w:val="00D73201"/>
    <w:rsid w:val="00D73647"/>
    <w:rsid w:val="00D75E2F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176A"/>
    <w:rsid w:val="00DC1DD0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2DC6"/>
    <w:rsid w:val="00DE4158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354F7"/>
    <w:rsid w:val="00E41279"/>
    <w:rsid w:val="00E41D54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86057"/>
    <w:rsid w:val="00E8629F"/>
    <w:rsid w:val="00E87C21"/>
    <w:rsid w:val="00E90B54"/>
    <w:rsid w:val="00E92F01"/>
    <w:rsid w:val="00E93309"/>
    <w:rsid w:val="00E958AC"/>
    <w:rsid w:val="00E96BC6"/>
    <w:rsid w:val="00E97AA9"/>
    <w:rsid w:val="00EA09B1"/>
    <w:rsid w:val="00EA0B7F"/>
    <w:rsid w:val="00EA3C24"/>
    <w:rsid w:val="00EA3D76"/>
    <w:rsid w:val="00EA68AF"/>
    <w:rsid w:val="00EA739C"/>
    <w:rsid w:val="00EB0292"/>
    <w:rsid w:val="00EB61A0"/>
    <w:rsid w:val="00EC0715"/>
    <w:rsid w:val="00EC1B94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17C1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45B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0415"/>
    <w:rsid w:val="00F7184A"/>
    <w:rsid w:val="00F7349C"/>
    <w:rsid w:val="00F77EB0"/>
    <w:rsid w:val="00F81AC1"/>
    <w:rsid w:val="00F83415"/>
    <w:rsid w:val="00F86974"/>
    <w:rsid w:val="00F90935"/>
    <w:rsid w:val="00F91F7D"/>
    <w:rsid w:val="00F91F8F"/>
    <w:rsid w:val="00F95FFE"/>
    <w:rsid w:val="00FA0215"/>
    <w:rsid w:val="00FA04B9"/>
    <w:rsid w:val="00FA2C90"/>
    <w:rsid w:val="00FA35B4"/>
    <w:rsid w:val="00FA3AE0"/>
    <w:rsid w:val="00FB2CFC"/>
    <w:rsid w:val="00FB560E"/>
    <w:rsid w:val="00FB69E7"/>
    <w:rsid w:val="00FC051F"/>
    <w:rsid w:val="00FC27D0"/>
    <w:rsid w:val="00FC2E63"/>
    <w:rsid w:val="00FC426E"/>
    <w:rsid w:val="00FC5E17"/>
    <w:rsid w:val="00FC5F9D"/>
    <w:rsid w:val="00FC658D"/>
    <w:rsid w:val="00FD16E0"/>
    <w:rsid w:val="00FD182B"/>
    <w:rsid w:val="00FD37D8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D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DE2D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E2D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rsid w:val="00DE2DC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DE2D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2D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2DC6"/>
    <w:pPr>
      <w:outlineLvl w:val="5"/>
    </w:pPr>
  </w:style>
  <w:style w:type="paragraph" w:styleId="Heading7">
    <w:name w:val="heading 7"/>
    <w:basedOn w:val="H6"/>
    <w:next w:val="Normal"/>
    <w:qFormat/>
    <w:rsid w:val="00DE2DC6"/>
    <w:pPr>
      <w:outlineLvl w:val="6"/>
    </w:pPr>
  </w:style>
  <w:style w:type="paragraph" w:styleId="Heading8">
    <w:name w:val="heading 8"/>
    <w:basedOn w:val="Heading1"/>
    <w:next w:val="Normal"/>
    <w:qFormat/>
    <w:rsid w:val="00DE2D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DC6"/>
    <w:pPr>
      <w:outlineLvl w:val="8"/>
    </w:pPr>
  </w:style>
  <w:style w:type="character" w:default="1" w:styleId="DefaultParagraphFont">
    <w:name w:val="Default Paragraph Font"/>
    <w:semiHidden/>
    <w:rsid w:val="00DE2D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DC6"/>
  </w:style>
  <w:style w:type="paragraph" w:customStyle="1" w:styleId="H6">
    <w:name w:val="H6"/>
    <w:basedOn w:val="Heading5"/>
    <w:next w:val="Normal"/>
    <w:rsid w:val="00DE2DC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E2DC6"/>
    <w:pPr>
      <w:ind w:left="1418" w:hanging="1418"/>
    </w:pPr>
  </w:style>
  <w:style w:type="paragraph" w:styleId="TOC8">
    <w:name w:val="toc 8"/>
    <w:basedOn w:val="TOC1"/>
    <w:rsid w:val="00DE2DC6"/>
    <w:pPr>
      <w:spacing w:before="180"/>
      <w:ind w:left="2693" w:hanging="2693"/>
    </w:pPr>
    <w:rPr>
      <w:b/>
    </w:rPr>
  </w:style>
  <w:style w:type="paragraph" w:styleId="TOC1">
    <w:name w:val="toc 1"/>
    <w:rsid w:val="00DE2D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DE2D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E2DC6"/>
  </w:style>
  <w:style w:type="paragraph" w:styleId="Header">
    <w:name w:val="header"/>
    <w:rsid w:val="00DE2D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E2D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DE2DC6"/>
    <w:pPr>
      <w:ind w:left="1701" w:hanging="1701"/>
    </w:pPr>
  </w:style>
  <w:style w:type="paragraph" w:styleId="TOC4">
    <w:name w:val="toc 4"/>
    <w:basedOn w:val="TOC3"/>
    <w:rsid w:val="00DE2DC6"/>
    <w:pPr>
      <w:ind w:left="1418" w:hanging="1418"/>
    </w:pPr>
  </w:style>
  <w:style w:type="paragraph" w:styleId="TOC3">
    <w:name w:val="toc 3"/>
    <w:basedOn w:val="TOC2"/>
    <w:rsid w:val="00DE2DC6"/>
    <w:pPr>
      <w:ind w:left="1134" w:hanging="1134"/>
    </w:pPr>
  </w:style>
  <w:style w:type="paragraph" w:styleId="TOC2">
    <w:name w:val="toc 2"/>
    <w:basedOn w:val="TOC1"/>
    <w:rsid w:val="00DE2DC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E2DC6"/>
    <w:pPr>
      <w:keepLines/>
      <w:spacing w:after="0"/>
    </w:pPr>
  </w:style>
  <w:style w:type="paragraph" w:styleId="Index2">
    <w:name w:val="index 2"/>
    <w:basedOn w:val="Index1"/>
    <w:semiHidden/>
    <w:rsid w:val="00DE2DC6"/>
    <w:pPr>
      <w:ind w:left="284"/>
    </w:pPr>
  </w:style>
  <w:style w:type="paragraph" w:customStyle="1" w:styleId="TT">
    <w:name w:val="TT"/>
    <w:basedOn w:val="Heading1"/>
    <w:next w:val="Normal"/>
    <w:rsid w:val="00DE2DC6"/>
    <w:pPr>
      <w:outlineLvl w:val="9"/>
    </w:pPr>
  </w:style>
  <w:style w:type="paragraph" w:styleId="Footer">
    <w:name w:val="footer"/>
    <w:basedOn w:val="Header"/>
    <w:rsid w:val="00DE2DC6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E2DC6"/>
    <w:rPr>
      <w:b/>
      <w:position w:val="6"/>
      <w:sz w:val="16"/>
    </w:rPr>
  </w:style>
  <w:style w:type="paragraph" w:styleId="FootnoteText">
    <w:name w:val="footnote text"/>
    <w:basedOn w:val="Normal"/>
    <w:semiHidden/>
    <w:rsid w:val="00DE2DC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E2DC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E2DC6"/>
    <w:pPr>
      <w:keepLines/>
      <w:ind w:left="1135" w:hanging="851"/>
    </w:pPr>
  </w:style>
  <w:style w:type="paragraph" w:customStyle="1" w:styleId="PL">
    <w:name w:val="PL"/>
    <w:rsid w:val="00DE2D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E2DC6"/>
    <w:pPr>
      <w:jc w:val="right"/>
    </w:pPr>
  </w:style>
  <w:style w:type="paragraph" w:customStyle="1" w:styleId="TAL">
    <w:name w:val="TAL"/>
    <w:basedOn w:val="Normal"/>
    <w:link w:val="TALChar"/>
    <w:rsid w:val="00DE2DC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E2DC6"/>
    <w:pPr>
      <w:ind w:left="851"/>
    </w:pPr>
  </w:style>
  <w:style w:type="paragraph" w:styleId="ListNumber">
    <w:name w:val="List Number"/>
    <w:basedOn w:val="List"/>
    <w:rsid w:val="00DE2DC6"/>
  </w:style>
  <w:style w:type="paragraph" w:styleId="List">
    <w:name w:val="List"/>
    <w:basedOn w:val="Normal"/>
    <w:rsid w:val="00DE2DC6"/>
    <w:pPr>
      <w:ind w:left="568" w:hanging="284"/>
    </w:pPr>
  </w:style>
  <w:style w:type="paragraph" w:customStyle="1" w:styleId="TAH">
    <w:name w:val="TAH"/>
    <w:basedOn w:val="TAC"/>
    <w:link w:val="TAHCar"/>
    <w:rsid w:val="00DE2DC6"/>
    <w:rPr>
      <w:b/>
    </w:rPr>
  </w:style>
  <w:style w:type="paragraph" w:customStyle="1" w:styleId="TAC">
    <w:name w:val="TAC"/>
    <w:basedOn w:val="TAL"/>
    <w:link w:val="TACChar"/>
    <w:rsid w:val="00DE2DC6"/>
    <w:pPr>
      <w:jc w:val="center"/>
    </w:pPr>
  </w:style>
  <w:style w:type="paragraph" w:customStyle="1" w:styleId="LD">
    <w:name w:val="LD"/>
    <w:rsid w:val="00DE2D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DE2DC6"/>
    <w:pPr>
      <w:keepLines/>
      <w:ind w:left="1702" w:hanging="1418"/>
    </w:pPr>
  </w:style>
  <w:style w:type="paragraph" w:customStyle="1" w:styleId="FP">
    <w:name w:val="FP"/>
    <w:basedOn w:val="Normal"/>
    <w:rsid w:val="00DE2DC6"/>
    <w:pPr>
      <w:spacing w:after="0"/>
    </w:pPr>
  </w:style>
  <w:style w:type="paragraph" w:customStyle="1" w:styleId="NW">
    <w:name w:val="NW"/>
    <w:basedOn w:val="NO"/>
    <w:rsid w:val="00DE2DC6"/>
    <w:pPr>
      <w:spacing w:after="0"/>
    </w:pPr>
  </w:style>
  <w:style w:type="paragraph" w:customStyle="1" w:styleId="EW">
    <w:name w:val="EW"/>
    <w:basedOn w:val="EX"/>
    <w:rsid w:val="00DE2DC6"/>
    <w:pPr>
      <w:spacing w:after="0"/>
    </w:pPr>
  </w:style>
  <w:style w:type="paragraph" w:customStyle="1" w:styleId="B1">
    <w:name w:val="B1"/>
    <w:basedOn w:val="List"/>
    <w:link w:val="B1Char"/>
    <w:rsid w:val="00DE2DC6"/>
  </w:style>
  <w:style w:type="paragraph" w:styleId="TOC6">
    <w:name w:val="toc 6"/>
    <w:basedOn w:val="TOC5"/>
    <w:next w:val="Normal"/>
    <w:rsid w:val="00DE2DC6"/>
    <w:pPr>
      <w:ind w:left="1985" w:hanging="1985"/>
    </w:pPr>
  </w:style>
  <w:style w:type="paragraph" w:styleId="TOC7">
    <w:name w:val="toc 7"/>
    <w:basedOn w:val="TOC6"/>
    <w:next w:val="Normal"/>
    <w:rsid w:val="00DE2DC6"/>
    <w:pPr>
      <w:ind w:left="2268" w:hanging="2268"/>
    </w:pPr>
  </w:style>
  <w:style w:type="paragraph" w:styleId="ListBullet2">
    <w:name w:val="List Bullet 2"/>
    <w:basedOn w:val="ListBullet"/>
    <w:rsid w:val="00DE2DC6"/>
    <w:pPr>
      <w:ind w:left="851"/>
    </w:pPr>
  </w:style>
  <w:style w:type="paragraph" w:styleId="ListBullet">
    <w:name w:val="List Bullet"/>
    <w:basedOn w:val="List"/>
    <w:rsid w:val="00DE2DC6"/>
  </w:style>
  <w:style w:type="paragraph" w:customStyle="1" w:styleId="EditorsNote">
    <w:name w:val="Editor's Note"/>
    <w:basedOn w:val="NO"/>
    <w:rsid w:val="00DE2DC6"/>
    <w:rPr>
      <w:color w:val="FF0000"/>
    </w:rPr>
  </w:style>
  <w:style w:type="paragraph" w:customStyle="1" w:styleId="TH">
    <w:name w:val="TH"/>
    <w:basedOn w:val="Normal"/>
    <w:link w:val="THChar"/>
    <w:rsid w:val="00DE2D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D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D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D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E2D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DC6"/>
    <w:pPr>
      <w:ind w:left="851" w:hanging="851"/>
    </w:pPr>
  </w:style>
  <w:style w:type="paragraph" w:customStyle="1" w:styleId="ZH">
    <w:name w:val="ZH"/>
    <w:rsid w:val="00DE2D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DE2DC6"/>
    <w:pPr>
      <w:keepNext w:val="0"/>
      <w:spacing w:before="0" w:after="240"/>
    </w:pPr>
  </w:style>
  <w:style w:type="paragraph" w:customStyle="1" w:styleId="ZG">
    <w:name w:val="ZG"/>
    <w:rsid w:val="00DE2D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DE2DC6"/>
    <w:pPr>
      <w:ind w:left="1135"/>
    </w:pPr>
  </w:style>
  <w:style w:type="paragraph" w:styleId="List2">
    <w:name w:val="List 2"/>
    <w:basedOn w:val="List"/>
    <w:rsid w:val="00DE2DC6"/>
    <w:pPr>
      <w:ind w:left="851"/>
    </w:pPr>
  </w:style>
  <w:style w:type="paragraph" w:styleId="List3">
    <w:name w:val="List 3"/>
    <w:basedOn w:val="List2"/>
    <w:rsid w:val="00DE2DC6"/>
    <w:pPr>
      <w:ind w:left="1135"/>
    </w:pPr>
  </w:style>
  <w:style w:type="paragraph" w:styleId="List4">
    <w:name w:val="List 4"/>
    <w:basedOn w:val="List3"/>
    <w:rsid w:val="00DE2DC6"/>
    <w:pPr>
      <w:ind w:left="1418"/>
    </w:pPr>
  </w:style>
  <w:style w:type="paragraph" w:styleId="List5">
    <w:name w:val="List 5"/>
    <w:basedOn w:val="List4"/>
    <w:rsid w:val="00DE2DC6"/>
    <w:pPr>
      <w:ind w:left="1702"/>
    </w:pPr>
  </w:style>
  <w:style w:type="paragraph" w:styleId="ListBullet4">
    <w:name w:val="List Bullet 4"/>
    <w:basedOn w:val="ListBullet3"/>
    <w:rsid w:val="00DE2DC6"/>
    <w:pPr>
      <w:ind w:left="1418"/>
    </w:pPr>
  </w:style>
  <w:style w:type="paragraph" w:styleId="ListBullet5">
    <w:name w:val="List Bullet 5"/>
    <w:basedOn w:val="ListBullet4"/>
    <w:rsid w:val="00DE2DC6"/>
    <w:pPr>
      <w:ind w:left="1702"/>
    </w:pPr>
  </w:style>
  <w:style w:type="paragraph" w:customStyle="1" w:styleId="B2">
    <w:name w:val="B2"/>
    <w:basedOn w:val="List2"/>
    <w:rsid w:val="00DE2DC6"/>
  </w:style>
  <w:style w:type="paragraph" w:customStyle="1" w:styleId="B3">
    <w:name w:val="B3"/>
    <w:basedOn w:val="List3"/>
    <w:rsid w:val="00DE2DC6"/>
  </w:style>
  <w:style w:type="paragraph" w:customStyle="1" w:styleId="B4">
    <w:name w:val="B4"/>
    <w:basedOn w:val="List4"/>
    <w:rsid w:val="00DE2DC6"/>
  </w:style>
  <w:style w:type="paragraph" w:customStyle="1" w:styleId="B5">
    <w:name w:val="B5"/>
    <w:basedOn w:val="List5"/>
    <w:rsid w:val="00DE2DC6"/>
  </w:style>
  <w:style w:type="paragraph" w:customStyle="1" w:styleId="ZTD">
    <w:name w:val="ZTD"/>
    <w:basedOn w:val="ZB"/>
    <w:rsid w:val="00DE2DC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DC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eastAsia="Times New Roman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rFonts w:eastAsia="Times New Roman"/>
      <w:lang w:val="en-GB"/>
    </w:rPr>
  </w:style>
  <w:style w:type="character" w:customStyle="1" w:styleId="TAHCar">
    <w:name w:val="TAH Car"/>
    <w:link w:val="TAH"/>
    <w:qFormat/>
    <w:rsid w:val="006B1C2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eastAsia="Times New Roman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rFonts w:eastAsia="Times New Roman"/>
      <w:noProof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eastAsia="Times New Roman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166</cp:revision>
  <dcterms:created xsi:type="dcterms:W3CDTF">2020-05-26T02:02:00Z</dcterms:created>
  <dcterms:modified xsi:type="dcterms:W3CDTF">2025-02-06T15:41:00Z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